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charts/_rels/chart4.xml.rels" ContentType="application/vnd.openxmlformats-package.relationships+xml"/>
  <Override PartName="/word/charts/_rels/chart3.xml.rels" ContentType="application/vnd.openxmlformats-package.relationships+xml"/>
  <Override PartName="/word/charts/_rels/chart2.xml.rels" ContentType="application/vnd.openxmlformats-package.relationships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mbeddings/_____Microsoft_Office_Excel4.xlsx" ContentType="application/vnd.openxmlformats-officedocument.spreadsheetml.sheet"/>
  <Override PartName="/word/embeddings/_____Microsoft_Office_Excel3.xlsx" ContentType="application/vnd.openxmlformats-officedocument.spreadsheetml.sheet"/>
  <Override PartName="/word/embeddings/_____Microsoft_Office_Excel2.xlsx" ContentType="application/vnd.openxmlformats-officedocument.spreadsheetml.sheet"/>
  <Override PartName="/word/embeddings/_____Microsoft_Office_Excel1.xlsx" ContentType="application/vnd.openxmlformats-officedocument.spreadsheetml.sheet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3"/>
        <w:widowControl w:val="false"/>
        <w:spacing w:before="0" w:after="0"/>
        <w:ind w:left="397" w:right="206" w:firstLine="632"/>
        <w:jc w:val="center"/>
        <w:rPr>
          <w:i w:val="false"/>
          <w:i w:val="false"/>
          <w:iCs w:val="false"/>
        </w:rPr>
      </w:pPr>
      <w:r>
        <w:rPr>
          <w:rFonts w:ascii="Times New Roman" w:hAnsi="Times New Roman"/>
          <w:b/>
          <w:i w:val="false"/>
          <w:iCs w:val="false"/>
          <w:sz w:val="32"/>
          <w:szCs w:val="32"/>
        </w:rPr>
        <w:t xml:space="preserve">Методическое сопровождение педагогов в условиях цифровой трансформации </w:t>
      </w:r>
    </w:p>
    <w:p>
      <w:pPr>
        <w:pStyle w:val="BodyText3"/>
        <w:widowControl w:val="false"/>
        <w:tabs>
          <w:tab w:val="clear" w:pos="708"/>
          <w:tab w:val="left" w:pos="3058" w:leader="none"/>
        </w:tabs>
        <w:bidi w:val="0"/>
        <w:spacing w:lineRule="auto" w:line="240" w:before="0" w:after="0"/>
        <w:ind w:left="3515" w:right="227" w:hanging="57"/>
        <w:jc w:val="right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Логинова Надежда Николаевна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-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 заместитель директора по УМР ГБОУ школы-интерната с. Старый Буян, учитель высшей кв. категории</w:t>
      </w:r>
    </w:p>
    <w:p>
      <w:pPr>
        <w:pStyle w:val="Normal"/>
        <w:widowControl w:val="false"/>
        <w:rPr>
          <w:rFonts w:ascii="Franklin Gothic Book" w:hAnsi="Franklin Gothic Book"/>
          <w:sz w:val="20"/>
          <w:szCs w:val="20"/>
        </w:rPr>
      </w:pPr>
      <w:r>
        <w:rPr/>
        <w:t> </w:t>
      </w:r>
    </w:p>
    <w:tbl>
      <w:tblPr>
        <w:tblStyle w:val="a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8328"/>
      </w:tblGrid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2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Наше общество и деловая жизнь в высшей степени цифровизованы, но образовательные организации только делают первые шаги, чтобы стать цифровыми. При этом оцифровка преподавания и обучения не может быть достигнута путём покупки компьютеров, планшетов или интерактивных досок. Каким бы нелогичным это ни казалось, бездумно приобретённое технологическое оборудование часто оказывается препятствием, замедляющим цифровизацию. Собственно цифровые ресурсы в образовании осваиваются с момента поступления первых компьютеров в школы. С 2011 года наша школа начала реализацию обучения школьников с ОВЗ с использованием дистанционных технологий.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3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="0" w:after="280"/>
              <w:ind w:firstLine="708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 представлю мониторинг обучения на дому с использованием дистанционных технологий:</w:t>
            </w:r>
          </w:p>
          <w:p>
            <w:pPr>
              <w:pStyle w:val="Articlerenderblock"/>
              <w:widowControl/>
              <w:numPr>
                <w:ilvl w:val="0"/>
                <w:numId w:val="1"/>
              </w:numPr>
              <w:spacing w:before="280" w:after="28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Динамика количества обучающихся на дому с использованием дистанционных технологий</w:t>
            </w:r>
          </w:p>
          <w:p>
            <w:pPr>
              <w:pStyle w:val="Articlerenderblock"/>
              <w:widowControl/>
              <w:spacing w:before="0" w:after="280"/>
              <w:ind w:left="1068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  <w:drawing>
                <wp:inline distT="0" distB="0" distL="0" distR="0">
                  <wp:extent cx="4169410" cy="3147695"/>
                  <wp:effectExtent l="0" t="0" r="0" b="0"/>
                  <wp:docPr id="1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"/>
                    </a:graphicData>
                  </a:graphic>
                </wp:inline>
              </w:drawing>
            </w:r>
          </w:p>
          <w:p>
            <w:pPr>
              <w:pStyle w:val="Articlerenderblock"/>
              <w:widowControl/>
              <w:numPr>
                <w:ilvl w:val="0"/>
                <w:numId w:val="1"/>
              </w:numPr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Нельзя сказать о стабильном повышении количества обучающихся, однако можно отметить, что первые 3 года обучение с использованием дистанционных технологий проходило период становления: педагоги осваивали технологии, получали опыт разработки ИОП, включения обучающихся с ОВЗ в виртуальную образовательную среду. В дальнейшем количество таких учеников увеличивается.</w:t>
            </w:r>
          </w:p>
          <w:p>
            <w:pPr>
              <w:pStyle w:val="Articlerenderblock"/>
              <w:widowControl/>
              <w:numPr>
                <w:ilvl w:val="0"/>
                <w:numId w:val="1"/>
              </w:numPr>
              <w:spacing w:beforeAutospacing="0" w:before="0" w:afterAutospacing="0" w:after="0"/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Динамика личностных достижений обучающихся на дому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34" w:firstLine="142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Ученики, осваивая интерактивные технологии, все активнее принимают участие в интеллектуальных, творческих, патриотических, краеведческих конкурсах и занимают призовые места. При этом категория обучающихся на дому разнородна: от школьников с легкими интеллектуальными нарушениями, до обучающихся с ТМНР.</w:t>
            </w:r>
          </w:p>
          <w:p>
            <w:pPr>
              <w:pStyle w:val="Articlerenderblock"/>
              <w:widowControl/>
              <w:spacing w:before="280"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4,5,6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2020 год внес свои коррективы в систему образования</w:t>
            </w:r>
            <w:r>
              <w:rPr>
                <w:kern w:val="0"/>
                <w:sz w:val="28"/>
                <w:szCs w:val="28"/>
                <w:lang w:val="ru-RU" w:bidi="ar-SA"/>
              </w:rPr>
              <w:t>. До апреля 2020 года все педагоги принимали цифровые технологии как средство обучения в классно-урочной системе, а «удаленка» – это только для отдельной категории обучающихся на дому. Никто не думал, что может возникнуть другая ситуация, кардинально перевернувшая понимание   Цифровизации.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В 1 полугодии 2020-2021 уч. года для понимания ситуации в школе было проведено исследование, результаты которого представлены на диаграммах. В анкетировании приняли участие обучающиеся (42%), родители (38%), педагоги (80%).  Данные анализа результатов анкетирования приведены ниже. 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rStyle w:val="Propis"/>
                <w:rFonts w:ascii="Times New Roman" w:hAnsi="Times New Roman"/>
                <w:b/>
                <w:b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b/>
                <w:i w:val="false"/>
                <w:iCs/>
                <w:color w:val="000000" w:themeColor="text1"/>
                <w:kern w:val="0"/>
                <w:sz w:val="28"/>
                <w:szCs w:val="28"/>
                <w:lang w:val="ru-RU" w:bidi="ar-SA"/>
              </w:rPr>
              <w:t>Удовлетворенность дистанционным обучением обучающихся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  <w:drawing>
                <wp:inline distT="0" distB="0" distL="0" distR="0">
                  <wp:extent cx="3876040" cy="4800600"/>
                  <wp:effectExtent l="0" t="0" r="0" b="0"/>
                  <wp:docPr id="2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"/>
                    </a:graphicData>
                  </a:graphic>
                </wp:inline>
              </w:drawing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rStyle w:val="Propis"/>
                <w:b/>
                <w:i w:val="false"/>
                <w:iCs/>
                <w:color w:val="000000" w:themeColor="text1"/>
                <w:kern w:val="0"/>
                <w:sz w:val="28"/>
                <w:szCs w:val="28"/>
                <w:lang w:val="ru-RU" w:bidi="ar-SA"/>
              </w:rPr>
              <w:t>Удовлетворенность дистанционным обучением родителей обучающихся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lang w:val="ru-RU" w:bidi="ar-SA"/>
              </w:rPr>
              <w:drawing>
                <wp:inline distT="0" distB="0" distL="0" distR="0">
                  <wp:extent cx="4934585" cy="2470785"/>
                  <wp:effectExtent l="0" t="0" r="0" b="0"/>
                  <wp:docPr id="3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4"/>
                    </a:graphicData>
                  </a:graphic>
                </wp:inline>
              </w:drawing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rStyle w:val="Propis"/>
                <w:b/>
                <w:i w:val="false"/>
                <w:iCs/>
                <w:color w:val="000000" w:themeColor="text1"/>
                <w:kern w:val="0"/>
                <w:sz w:val="28"/>
                <w:szCs w:val="28"/>
                <w:lang w:val="ru-RU" w:bidi="ar-SA"/>
              </w:rPr>
              <w:t>Удовлетворенность дистанционным обучением педагогов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kern w:val="0"/>
                <w:lang w:val="ru-RU" w:eastAsia="en-US" w:bidi="ar-SA"/>
              </w:rPr>
              <w:drawing>
                <wp:inline distT="0" distB="0" distL="0" distR="0">
                  <wp:extent cx="5091430" cy="2884170"/>
                  <wp:effectExtent l="0" t="0" r="0" b="0"/>
                  <wp:docPr id="4" name="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Таким образом, имеющиеся результаты свидетельствуют об общей удовлетворенности родителей и обучающихся дистанционным форматом обучения. 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При этом, преимущественно предпочитают очный формат обучения, не отрицая использование дистанционных технологий.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 </w:t>
            </w: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Результаты анализа данных по применению педагогами информационных и дистанционных технологий в образовательной деятельности показали, что интенсивность их применения выпала на период перехода в дистанционный режим при распространении коронавирусной инфекции, что является закономерным. 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Следует отметить, что для реализации задач коррекционного блока реализовывались он-лайн форматы обучения, когда педагог работает с учениками в индивидуальном или подгрупповом формате. 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Работа логопеда на инд. занятиях строится следующим образом: 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Этап артикулирования (арт. Гимнастика для мышц губ, языка)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Этап (при необходимости) постановки звука «по подражанию»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>Закрепление первичных произносительных навыков и далее отработка речевых умений. Все это возможно при удаленном формате обучения!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Также в нашем расписании были выделены часы для консультирования родителей (КСТАТИ!  В очном формате консультации чаще всего проходят по инициативе родителей!)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Style w:val="Propis"/>
                <w:rFonts w:ascii="Times New Roman" w:hAnsi="Times New Roman" w:cs="Times New Roman"/>
                <w:i w:val="false"/>
                <w:i w:val="false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В ходе анкетирования 80% педагогов отметили, что ранее не практиковали такую форму обучения, и у них не было никакого опыта для ее реализации. </w:t>
            </w:r>
          </w:p>
          <w:p>
            <w:pPr>
              <w:pStyle w:val="07BODYtxt"/>
              <w:widowControl/>
              <w:spacing w:lineRule="auto" w:line="240" w:before="0" w:after="0"/>
              <w:ind w:left="0" w:right="0" w:firstLine="709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</w:pPr>
            <w:r>
              <w:rPr>
                <w:rStyle w:val="Propis"/>
                <w:rFonts w:cs="Times New Roman" w:ascii="Times New Roman" w:hAnsi="Times New Roman"/>
                <w:i w:val="false"/>
                <w:iCs/>
                <w:color w:val="000000" w:themeColor="text1"/>
                <w:kern w:val="0"/>
                <w:sz w:val="28"/>
                <w:szCs w:val="28"/>
                <w:lang w:val="ru-RU" w:eastAsia="en-US" w:bidi="ar-SA"/>
              </w:rPr>
              <w:t xml:space="preserve">При этом, для педагогов, реализующих коррекционное сопровождение данный формат обучения представлял определенные трудности. 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7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Минпросвещения начало масштабную цифровизацию школ.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Реализуется Федеральный проект Цифровая образовательная среда. Школы оснащаются современным оборудованием для обучения и высокоскоростным интернетом. Сейчас почти в каждой современной школе висят интерактивные доски, у школьников есть электронные дневники, а учителя активно пользуются соцсетями, чтобы оставаться с учениками на связи и консультировать по домашней работе (в том числе и в нашей школе 2 кабинета оснащены современным оборудованием). Правда, цифровая трансформация образования не исчерпывается заменой учебников и тетрадей компьютером. 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Технологии позволяют применять методы, которые не могут быть реализованы при обычном контактном обучении. Например, ученики должны создавать аудио- и видео-контент, делать совместные проекты. То есть IT начинает выступать в качестве важного инструмента мышления.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Для чего это необходимо?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Цифровая образовательная среда позволяет существенно расширить доступ учащихся к качественным программам обучения, при этом не подразумевается уход от традиционных занятий в школах. 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Внедрение цифровых технологий в образовательный процесс, в том числе позволит учащимся, по каким-либо причинам не имеющим возможности посещать школу, быть на связи с классом и учителем во время урока. В настоящее время для обучающихся, не посещающим учебные занятия по каким либо причинам организуются онлайн уроки. На урок ученики перемещаются в цифровые кабинеты, подключается скайп (</w:t>
            </w:r>
            <w:r>
              <w:rPr>
                <w:kern w:val="0"/>
                <w:sz w:val="28"/>
                <w:szCs w:val="28"/>
                <w:lang w:val="en-US" w:bidi="ar-SA"/>
              </w:rPr>
              <w:t>ZOOM</w:t>
            </w:r>
            <w:r>
              <w:rPr>
                <w:kern w:val="0"/>
                <w:sz w:val="28"/>
                <w:szCs w:val="28"/>
                <w:lang w:val="ru-RU" w:bidi="ar-SA"/>
              </w:rPr>
              <w:t xml:space="preserve">) и в режиме реального времени ученик имеет возможность работать удаленно 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Развитие культурных цифровых инструментов ставит перед образованием вопрос,  какие  физические,  умственные  и  психические  способности  и  как  надо  развивать в ходе организованного обучения, а какие из них и в каком объеме следует компенсировать (или поддерживать в ходе их формирования) новыми цифровыми информационными инструментами. Выбор  того  или  иного  ответа  ведет  к  разным  объемам  затрат  на  оборудование  образовательных  организаций,  оснащение  их  ЦТ,  разработку  учебно-методических материалов, отработку и распространение новых педагогических практик.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Хочется обратить внимание на то, с какими проблемами столкнулись педагоги при организации учебного процесса для обучающихся с интеллектуальными нарушениями</w:t>
            </w:r>
            <w:r>
              <w:rPr>
                <w:kern w:val="0"/>
                <w:sz w:val="28"/>
                <w:szCs w:val="28"/>
                <w:lang w:val="ru-RU" w:bidi="ar-SA"/>
              </w:rPr>
              <w:t>: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459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Первая трудность – как организовать работу с учениками удаленно? Внимание обучающегося с интеллектуальными нарушениями неустойчиво, познавательная активность низкая.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459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Следующая проблема - обучающимся необходимо сопровождение, а педагог находится на расстоянии.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459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И конечно, одной из самых серьезных проблем, которая поглощает 2 первые - владение педагогами информационными технологиями. 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8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="0" w:after="28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НО! Можно ли требовать от педагогов новых знаний и умений, если мы не создали условия и не помогли им освоить новые технологии?</w:t>
            </w:r>
          </w:p>
          <w:p>
            <w:pPr>
              <w:pStyle w:val="Articlerenderblock"/>
              <w:widowControl/>
              <w:spacing w:before="280" w:after="28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В своей работе мы следуем следующим правилам:</w:t>
            </w:r>
          </w:p>
          <w:p>
            <w:pPr>
              <w:pStyle w:val="Articlerenderblock"/>
              <w:widowControl/>
              <w:numPr>
                <w:ilvl w:val="0"/>
                <w:numId w:val="4"/>
              </w:numPr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Не спрашивать того, чему не научили: </w:t>
              <w:softHyphen/>
              <w:t xml:space="preserve">нельзя требовать от педагогов новых знаний и умений, если не помогали их освоить. К каждому учителю нужно искать индивидуальный подход, создавать условия для его развития. ( так же как и в работе с учениками, мы начинаем с диагностики. На дистанционной платформе «Интенсив. Я учитель» размещены материалы для самодиагностики компетенций и построения индивидуального маршрута самообразования. 100% педагогов прошли блок «Цифровые компетенции педагога» и определили уровень своих компетентностей в этом направлении. </w:t>
            </w:r>
          </w:p>
          <w:p>
            <w:pPr>
              <w:pStyle w:val="Articlerenderblock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Показывать личный пример: администрация школы на личном примере раскрывает, как важно владеть ИКТ-компетенциями, раскрывает плюсы и возможности цифровизации </w:t>
            </w:r>
          </w:p>
          <w:p>
            <w:pPr>
              <w:pStyle w:val="Articlerenderblock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Назначать новых руководителей. В стабильных, не меняющихся условиях педагоги «уходят в спячку», пребывают в «зоне комфорта»,  в школе создаются творческие группы сменного состава, делегируются полномочия руководители с учетом лидерских качеств.</w:t>
            </w:r>
          </w:p>
          <w:p>
            <w:pPr>
              <w:pStyle w:val="Articlerenderblock"/>
              <w:widowControl/>
              <w:numPr>
                <w:ilvl w:val="0"/>
                <w:numId w:val="2"/>
              </w:numPr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Поощрять тех, кто обучается. Педагоги, которые повышают свои компетентности, получают благодарственные письма, о них печатают в газетах. Так в 2021 г. вышла публикация Юбилейного издания «Золотой фонд кадров Родины» где отмечены лучшие педагоги школы</w:t>
            </w:r>
          </w:p>
          <w:p>
            <w:pPr>
              <w:pStyle w:val="Articlerenderblock"/>
              <w:widowControl/>
              <w:numPr>
                <w:ilvl w:val="0"/>
                <w:numId w:val="2"/>
              </w:numPr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Изучать опыт лучших. Для педагогов в школе функционируют открытые практикумы, разработана программа взаимопосещений, организована работа по изучению опыта внутри МО, на педагогических советах, семинарах и конференциях. 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720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Только в 2020-2021 уч. г. педагоги школы представили свой опыт на Втором межрегиональный Интернет-форум «Особый ребенок в особой среде: от ограниченных возможностей— к возможностям без границ»; Всероссийской научно–практической конференции: "Инклюзивное образование в эпоху новой реальности" (в т.ч. поделились опытом реализации цифровых технологий в обучении и воспитании школьников с ОВЗ) 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9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ind w:left="1068" w:hanging="0"/>
              <w:jc w:val="both"/>
              <w:rPr>
                <w:b/>
                <w:b/>
                <w:sz w:val="28"/>
                <w:szCs w:val="28"/>
              </w:rPr>
            </w:pPr>
            <w:r>
              <w:rPr>
                <w:b/>
                <w:kern w:val="0"/>
                <w:sz w:val="28"/>
                <w:szCs w:val="28"/>
                <w:lang w:val="ru-RU" w:bidi="ar-SA"/>
              </w:rPr>
              <w:t>Как же мы решали эти проблемы: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17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Так или иначе, все проблемы сводятся к самому важному – методическому сопровождению педагогов на этапе формирования необходимых компетентностей. Здесь на помощь всем приходит методическое сопровождение педагогов, организована курсовая подготовка на базе ЦДО СИПКРО, самообразование педагога, работа школьных методических объединений.   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17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Учителя овладели технологией разработки ЭОР, активно применяют мультимедийные презентации, позволяющие привлечь внимание  школьника с ОВЗ, сделать образовательный процесс более привлекательным. Уместно отметить, что ЦИФРА всегда должна включать в себя создание новых, более эффективных процессов обучения и преподавания в области информационных технологий, которые делают возможными новые процессы, а не просто заменяют ручки или доски электронной версией. Технология всегда должна приносить пользу педагогике.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ind w:left="176" w:hanging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Следующий этап - активное взаимодействие с родителями и обучающимися: просветительская работа, согласование с родителями АОП/СИПРа, учебного расписания и проведение онлайн-уроков в удобное для них время.  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10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Собственно методическое сопровождение реализуется поэтапно. На 1 этапе «Инициализации» Изучаем опыт других школ, проводим аудит инфраструктуры (оборудование, ресурсы, оснащенность школы, повышение квалификации учителей, работа с учениками и корректировка плана ВШК)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Обращаем особое внимание на результаты анализа эффективности дистанционки, организовали взаимодействие с ЦДО СИПКРО по информационно-методическому сопровождению цифровой трансформации в ОО.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Обсуждаем, как будем повышать ИКТ-компетенции педагогов и школьников. Изменилась методическая задача на 2021 год: обеспечить формирование цифровых компетентностей у участников образовательных отношений в ходе самообразования, курсовой подготовки.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Кроме того для обучающихся в 2020-2021 учебном году на базе ГБОУ школы-интерната с. Старый Буян реализуется программа дополнительного образования (кружковая работа) для обучающихся 5-9 классов «Основы компьютерной грамотности».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11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 следующем этапе «Понимание»  деятельности по методическому сопровождению мы провели анализ эффективности дистанционки, обсудили, как будем повышать ИКТ-компетенции педагогов и школьников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Разработали локальный акт о дистанционном формате обучения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Организовали методическая работа над единой методической проблемой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Разработан план курсовой подготовки. Определены направления курсовой подготовки педагогов (в дистанционном формате)   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12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 этап «Начало внедрения». Здесь Разработан план по внедрению цифровых решений (постановления педагогического совета)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Организовано обучение коллектива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Работа методических объединений по корректировке АОП, КИМов для внесены коррективов в АРП, КИМы 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13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 этап «Рутинное использование» Определить и четко сформулировать критерии эффективности использования цифровых решений по разным направлениям деятельности;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организовать контроль внедрения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14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5 этап «Совершенствование и распространение»</w:t>
            </w:r>
          </w:p>
          <w:p>
            <w:pPr>
              <w:pStyle w:val="Articlerenderblock"/>
              <w:widowControl/>
              <w:spacing w:beforeAutospacing="0" w:before="0" w:afterAutospacing="0" w:after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  <w:lang w:val="ru-RU" w:bidi="ar-SA"/>
              </w:rPr>
              <w:t xml:space="preserve"> </w:t>
            </w:r>
            <w:r>
              <w:rPr>
                <w:kern w:val="0"/>
                <w:sz w:val="28"/>
                <w:szCs w:val="28"/>
                <w:lang w:val="ru-RU" w:bidi="ar-SA"/>
              </w:rPr>
              <w:t>Организовать передачу опыта на всех уровнях методических единиц от ШМО до и региональных конференций; подготовить публикации в СМИ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Слайд 15 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="0" w:after="280"/>
              <w:jc w:val="both"/>
              <w:rPr>
                <w:rFonts w:eastAsia="Calibri" w:eastAsiaTheme="minorHAnsi"/>
                <w:sz w:val="28"/>
                <w:szCs w:val="28"/>
                <w:lang w:eastAsia="en-US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План развития кадров </w:t>
            </w:r>
            <w:r>
              <w:rPr>
                <w:rFonts w:eastAsia="Calibri" w:eastAsiaTheme="minorHAnsi"/>
                <w:kern w:val="0"/>
                <w:sz w:val="28"/>
                <w:szCs w:val="28"/>
                <w:lang w:val="ru-RU" w:eastAsia="en-US" w:bidi="ar-SA"/>
              </w:rPr>
              <w:t>по направлению «Цифровизация образовательной среды»</w:t>
            </w:r>
          </w:p>
          <w:p>
            <w:pPr>
              <w:pStyle w:val="Articlerenderblock"/>
              <w:widowControl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rFonts w:eastAsia="Calibri" w:eastAsiaTheme="minorHAnsi"/>
                <w:kern w:val="0"/>
                <w:sz w:val="28"/>
                <w:szCs w:val="28"/>
                <w:lang w:val="ru-RU" w:eastAsia="en-US" w:bidi="ar-SA"/>
              </w:rPr>
              <w:t>План включает в себя стандартные графы. Вся деятельность распределена по направлениям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16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Приложением к плану является план мониторинга инновационной деятельности педагогов (извлечение из плана мониторинга)</w:t>
            </w:r>
          </w:p>
        </w:tc>
      </w:tr>
      <w:tr>
        <w:trPr/>
        <w:tc>
          <w:tcPr>
            <w:tcW w:w="1242" w:type="dxa"/>
            <w:tcBorders/>
          </w:tcPr>
          <w:p>
            <w:pPr>
              <w:pStyle w:val="Articlerenderblock"/>
              <w:widowControl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Слайд 17</w:t>
            </w:r>
          </w:p>
        </w:tc>
        <w:tc>
          <w:tcPr>
            <w:tcW w:w="8328" w:type="dxa"/>
            <w:tcBorders/>
          </w:tcPr>
          <w:p>
            <w:pPr>
              <w:pStyle w:val="Articlerenderblock"/>
              <w:widowControl/>
              <w:spacing w:before="0" w:after="28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>Формы работы над цифровыми компетентностями учеников. Небезызвестный факт, что АООП, реализуемая в настоящее время в 5-9 классах не содержит предмета ИНФОРМАТИКА. И только в по ФГОС начиная с 7 по 9 класс, выделяется по 1 ч. на этот предмет. В связи с этим, исходя из имеющихся ресурсов, школа организует работу по формированию у обучающихся ИКТ – компетентностей.</w:t>
            </w:r>
          </w:p>
          <w:p>
            <w:pPr>
              <w:pStyle w:val="Articlerenderblock"/>
              <w:widowControl/>
              <w:spacing w:before="280" w:after="0"/>
              <w:jc w:val="both"/>
              <w:rPr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  <w:lang w:val="ru-RU" w:bidi="ar-SA"/>
              </w:rPr>
              <w:t xml:space="preserve">В презентации вы познакомились с узким направлением работы школы в рамках цифровой трансформации. А сейчас Вашему вниманию я представляю видеопрезентацию по теме «Цифровая трансформация, трудности и новые возможности стратегии управления учебной деятельностью обучающихся с ОВЗ» </w:t>
            </w:r>
          </w:p>
        </w:tc>
      </w:tr>
    </w:tbl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hanging="0"/>
        <w:jc w:val="center"/>
        <w:rPr>
          <w:rStyle w:val="Propis"/>
          <w:rFonts w:ascii="Times New Roman" w:hAnsi="Times New Roman"/>
          <w:b/>
          <w:b/>
          <w:i w:val="false"/>
          <w:i w:val="false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 w:val="false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hanging="0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jc w:val="center"/>
        <w:rPr>
          <w:rStyle w:val="Propis"/>
          <w:rFonts w:ascii="Times New Roman" w:hAnsi="Times New Roman"/>
          <w:b/>
          <w:b/>
          <w:iCs/>
          <w:color w:val="000000" w:themeColor="text1"/>
          <w:sz w:val="28"/>
          <w:szCs w:val="28"/>
        </w:rPr>
      </w:pPr>
      <w:r>
        <w:rPr>
          <w:rStyle w:val="Propis"/>
          <w:rFonts w:ascii="Times New Roman" w:hAnsi="Times New Roman"/>
          <w:b/>
          <w:iCs/>
          <w:color w:val="000000" w:themeColor="text1"/>
          <w:sz w:val="28"/>
          <w:szCs w:val="28"/>
        </w:rPr>
        <w:t xml:space="preserve"> </w:t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hanging="0"/>
        <w:rPr>
          <w:rStyle w:val="Propis"/>
          <w:rFonts w:ascii="Times New Roman" w:hAnsi="Times New Roman"/>
          <w:i w:val="false"/>
          <w:i w:val="false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 w:val="false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Style w:val="Propis"/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</w:r>
    </w:p>
    <w:p>
      <w:pPr>
        <w:pStyle w:val="07BODYtxt"/>
        <w:spacing w:lineRule="auto" w:line="240"/>
        <w:ind w:left="0" w:right="0" w:firstLine="709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709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Franklin Gothic Book">
    <w:charset w:val="01"/>
    <w:family w:val="roman"/>
    <w:pitch w:val="variable"/>
  </w:font>
  <w:font w:name="CenturySchlbkCyr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extBookC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c7d5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4b022f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link w:val="30"/>
    <w:uiPriority w:val="9"/>
    <w:unhideWhenUsed/>
    <w:qFormat/>
    <w:rsid w:val="004b022f"/>
    <w:pPr>
      <w:spacing w:lineRule="auto" w:line="240" w:beforeAutospacing="1" w:afterAutospacing="1"/>
      <w:outlineLvl w:val="2"/>
    </w:pPr>
    <w:rPr>
      <w:rFonts w:ascii="Times New Roman" w:hAnsi="Times New Roman" w:eastAsia="" w:cs="Times New Roman" w:eastAsiaTheme="minorEastAsia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23b66"/>
    <w:rPr>
      <w:b/>
      <w:bCs/>
    </w:rPr>
  </w:style>
  <w:style w:type="character" w:styleId="Style12" w:customStyle="1">
    <w:name w:val="Текст выноски Знак"/>
    <w:basedOn w:val="DefaultParagraphFont"/>
    <w:link w:val="a4"/>
    <w:uiPriority w:val="99"/>
    <w:semiHidden/>
    <w:qFormat/>
    <w:rsid w:val="003a0b0c"/>
    <w:rPr>
      <w:rFonts w:ascii="Tahoma" w:hAnsi="Tahoma" w:cs="Tahoma"/>
      <w:sz w:val="16"/>
      <w:szCs w:val="16"/>
    </w:rPr>
  </w:style>
  <w:style w:type="character" w:styleId="31" w:customStyle="1">
    <w:name w:val="Основной текст 3 Знак"/>
    <w:basedOn w:val="DefaultParagraphFont"/>
    <w:link w:val="31"/>
    <w:uiPriority w:val="99"/>
    <w:semiHidden/>
    <w:qFormat/>
    <w:rsid w:val="00126d1b"/>
    <w:rPr>
      <w:rFonts w:ascii="Franklin Gothic Book" w:hAnsi="Franklin Gothic Book" w:eastAsia="Times New Roman" w:cs="Times New Roman"/>
      <w:color w:val="000000"/>
      <w:kern w:val="2"/>
      <w:sz w:val="20"/>
      <w:szCs w:val="20"/>
      <w:lang w:eastAsia="ru-RU"/>
    </w:rPr>
  </w:style>
  <w:style w:type="character" w:styleId="Propis" w:customStyle="1">
    <w:name w:val="propis"/>
    <w:uiPriority w:val="99"/>
    <w:qFormat/>
    <w:rsid w:val="007c01dd"/>
    <w:rPr>
      <w:rFonts w:ascii="CenturySchlbkCyr" w:hAnsi="CenturySchlbkCyr"/>
      <w:i/>
      <w:color w:val="00ADEF"/>
      <w:sz w:val="18"/>
      <w:u w:val="none"/>
    </w:rPr>
  </w:style>
  <w:style w:type="character" w:styleId="Style13">
    <w:name w:val="Интернет-ссылка"/>
    <w:basedOn w:val="DefaultParagraphFont"/>
    <w:uiPriority w:val="99"/>
    <w:semiHidden/>
    <w:unhideWhenUsed/>
    <w:rsid w:val="004b022f"/>
    <w:rPr>
      <w:color w:val="0000FF"/>
      <w:u w:val="single"/>
    </w:rPr>
  </w:style>
  <w:style w:type="character" w:styleId="32" w:customStyle="1">
    <w:name w:val="Заголовок 3 Знак"/>
    <w:basedOn w:val="DefaultParagraphFont"/>
    <w:link w:val="3"/>
    <w:uiPriority w:val="9"/>
    <w:qFormat/>
    <w:rsid w:val="004b022f"/>
    <w:rPr>
      <w:rFonts w:ascii="Times New Roman" w:hAnsi="Times New Roman" w:eastAsia="" w:cs="Times New Roman" w:eastAsiaTheme="minorEastAsia"/>
      <w:b/>
      <w:bCs/>
      <w:sz w:val="27"/>
      <w:szCs w:val="27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4b022f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Articlerenderblock" w:customStyle="1">
    <w:name w:val="article-render__block"/>
    <w:basedOn w:val="Normal"/>
    <w:qFormat/>
    <w:rsid w:val="00923b6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3a0b0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BodyText3">
    <w:name w:val="Body Text 3"/>
    <w:link w:val="32"/>
    <w:uiPriority w:val="99"/>
    <w:semiHidden/>
    <w:unhideWhenUsed/>
    <w:qFormat/>
    <w:rsid w:val="00126d1b"/>
    <w:pPr>
      <w:widowControl/>
      <w:bidi w:val="0"/>
      <w:spacing w:lineRule="auto" w:line="240" w:before="0" w:after="120"/>
      <w:jc w:val="left"/>
    </w:pPr>
    <w:rPr>
      <w:rFonts w:ascii="Franklin Gothic Book" w:hAnsi="Franklin Gothic Book" w:eastAsia="Times New Roman" w:cs="Times New Roman"/>
      <w:color w:val="000000"/>
      <w:kern w:val="2"/>
      <w:sz w:val="20"/>
      <w:szCs w:val="20"/>
      <w:lang w:eastAsia="ru-RU" w:val="ru-RU" w:bidi="ar-SA"/>
    </w:rPr>
  </w:style>
  <w:style w:type="paragraph" w:styleId="07BODYtxt" w:customStyle="1">
    <w:name w:val="07BODY-txt"/>
    <w:basedOn w:val="Normal"/>
    <w:uiPriority w:val="99"/>
    <w:qFormat/>
    <w:rsid w:val="007c01dd"/>
    <w:pPr>
      <w:spacing w:lineRule="atLeast" w:line="215" w:before="0" w:after="0"/>
      <w:ind w:left="567" w:right="567" w:firstLine="283"/>
      <w:jc w:val="both"/>
      <w:textAlignment w:val="center"/>
    </w:pPr>
    <w:rPr>
      <w:rFonts w:ascii="TextBookC" w:hAnsi="TextBookC" w:eastAsia="Times New Roman" w:cs="TextBookC"/>
      <w:color w:val="000000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b022f"/>
    <w:pPr>
      <w:spacing w:lineRule="auto" w:line="240" w:beforeAutospacing="1" w:afterAutospacing="1"/>
    </w:pPr>
    <w:rPr>
      <w:rFonts w:ascii="Times New Roman" w:hAnsi="Times New Roman" w:eastAsia="" w:cs="Times New Roman" w:eastAsiaTheme="minorEastAsia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9c02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hart" Target="charts/chart1.xml"/><Relationship Id="rId3" Type="http://schemas.openxmlformats.org/officeDocument/2006/relationships/chart" Target="charts/chart2.xml"/><Relationship Id="rId4" Type="http://schemas.openxmlformats.org/officeDocument/2006/relationships/chart" Target="charts/chart3.xml"/><Relationship Id="rId5" Type="http://schemas.openxmlformats.org/officeDocument/2006/relationships/chart" Target="charts/chart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1.xlsx"/>
</Relationships>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2.xlsx"/>
</Relationships>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3.xlsx"/>
</Relationships>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_____Microsoft_Office_Excel4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title>
      <c:tx>
        <c:rich>
          <a:bodyPr rot="0"/>
          <a:lstStyle/>
          <a:p>
            <a:pPr>
              <a:defRPr b="1" sz="1800" spc="-1" strike="noStrike">
                <a:solidFill>
                  <a:srgbClr val="000000"/>
                </a:solidFill>
                <a:latin typeface="Calibri"/>
              </a:defRPr>
            </a:pPr>
            <a:r>
              <a:rPr b="1" sz="1800" spc="-1" strike="noStrike">
                <a:solidFill>
                  <a:srgbClr val="000000"/>
                </a:solidFill>
                <a:latin typeface="Calibri"/>
              </a:rPr>
              <a:t>количество обучающихся</a:t>
            </a:r>
          </a:p>
        </c:rich>
      </c:tx>
      <c:overlay val="0"/>
      <c:spPr>
        <a:noFill/>
        <a:ln w="0">
          <a:noFill/>
        </a:ln>
      </c:spPr>
    </c:title>
    <c:autoTitleDeleted val="0"/>
    <c:view3D>
      <c:rotX val="30"/>
      <c:rotY val="0"/>
      <c:rAngAx val="0"/>
      <c:perspective val="30"/>
    </c:view3D>
    <c:floor>
      <c:spPr>
        <a:solidFill>
          <a:srgbClr val="d9d9d9"/>
        </a:solidFill>
        <a:ln w="0">
          <a:noFill/>
        </a:ln>
      </c:spPr>
    </c:floor>
    <c:sideWall>
      <c:spPr>
        <a:solidFill>
          <a:srgbClr val="d9d9d9"/>
        </a:solidFill>
        <a:ln w="0">
          <a:noFill/>
        </a:ln>
      </c:spPr>
    </c:sideWall>
    <c:backWall>
      <c:spPr>
        <a:solidFill>
          <a:srgbClr val="d9d9d9"/>
        </a:solidFill>
        <a:ln w="0">
          <a:noFill/>
        </a:ln>
      </c:spPr>
    </c:backWall>
    <c:plotArea>
      <c:pie3D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Pt>
            <c:idx val="7"/>
            <c:explosion val="25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8"/>
            <c:explosion val="25"/>
            <c:spPr>
              <a:solidFill>
                <a:srgbClr val="b8cd97"/>
              </a:solidFill>
              <a:ln w="0">
                <a:noFill/>
              </a:ln>
            </c:spPr>
          </c:dPt>
          <c:dPt>
            <c:idx val="9"/>
            <c:explosion val="25"/>
            <c:spPr>
              <a:solidFill>
                <a:srgbClr val="a99bbd"/>
              </a:solidFill>
              <a:ln w="0">
                <a:noFill/>
              </a:ln>
            </c:spPr>
          </c:dPt>
          <c:dLbls>
            <c:numFmt formatCode="General" sourceLinked="0"/>
            <c:dLbl>
              <c:idx val="0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9"/>
              <c:numFmt formatCode="General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4</c:v>
                </c:pt>
                <c:pt idx="3">
                  <c:v>4</c:v>
                </c:pt>
                <c:pt idx="4">
                  <c:v>7</c:v>
                </c:pt>
                <c:pt idx="5">
                  <c:v>8</c:v>
                </c:pt>
                <c:pt idx="6">
                  <c:v>9</c:v>
                </c:pt>
                <c:pt idx="7">
                  <c:v>9</c:v>
                </c:pt>
                <c:pt idx="8">
                  <c:v>12</c:v>
                </c:pt>
                <c:pt idx="9">
                  <c:v>10</c:v>
                </c:pt>
              </c:numCache>
            </c:numRef>
          </c:val>
        </c:ser>
      </c:pie3DChart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0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barChart>
        <c:barDir val="bar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качество организации обучения</c:v>
                </c:pt>
              </c:strCache>
            </c:strRef>
          </c:tx>
          <c:spPr>
            <a:solidFill>
              <a:srgbClr val="4672a8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испытывают трудности в самоорганизации</c:v>
                </c:pt>
              </c:strCache>
            </c:strRef>
          </c:tx>
          <c:spPr>
            <a:solidFill>
              <a:srgbClr val="ab4744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"/>
                <c:pt idx="0">
                  <c:v>0.8</c:v>
                </c:pt>
              </c:numCache>
            </c:numRef>
          </c:val>
        </c:ser>
        <c:ser>
          <c:idx val="2"/>
          <c:order val="2"/>
          <c:tx>
            <c:strRef>
              <c:f>label 2</c:f>
              <c:strCache>
                <c:ptCount val="1"/>
                <c:pt idx="0">
                  <c:v>считают слишком большим объем заданий педагога </c:v>
                </c:pt>
              </c:strCache>
            </c:strRef>
          </c:tx>
          <c:spPr>
            <a:solidFill>
              <a:srgbClr val="8aa64f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2</c:f>
              <c:numCache>
                <c:formatCode>General</c:formatCode>
                <c:ptCount val="1"/>
                <c:pt idx="0">
                  <c:v>0.15</c:v>
                </c:pt>
              </c:numCache>
            </c:numRef>
          </c:val>
        </c:ser>
        <c:ser>
          <c:idx val="3"/>
          <c:order val="3"/>
          <c:tx>
            <c:strRef>
              <c:f>label 3</c:f>
              <c:strCache>
                <c:ptCount val="1"/>
                <c:pt idx="0">
                  <c:v>нуждаются в систематической помощи родителей  </c:v>
                </c:pt>
              </c:strCache>
            </c:strRef>
          </c:tx>
          <c:spPr>
            <a:solidFill>
              <a:srgbClr val="725990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3</c:f>
              <c:numCache>
                <c:formatCode>General</c:formatCode>
                <c:ptCount val="1"/>
                <c:pt idx="0">
                  <c:v>0.3</c:v>
                </c:pt>
              </c:numCache>
            </c:numRef>
          </c:val>
        </c:ser>
        <c:ser>
          <c:idx val="4"/>
          <c:order val="4"/>
          <c:tx>
            <c:strRef>
              <c:f>label 4</c:f>
              <c:strCache>
                <c:ptCount val="1"/>
                <c:pt idx="0">
                  <c:v>часто возникают проблемы с оборудованием/интернет-связью</c:v>
                </c:pt>
              </c:strCache>
            </c:strRef>
          </c:tx>
          <c:spPr>
            <a:solidFill>
              <a:srgbClr val="4299b0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4</c:f>
              <c:numCache>
                <c:formatCode>General</c:formatCode>
                <c:ptCount val="1"/>
                <c:pt idx="0">
                  <c:v>0.36</c:v>
                </c:pt>
              </c:numCache>
            </c:numRef>
          </c:val>
        </c:ser>
        <c:ser>
          <c:idx val="5"/>
          <c:order val="5"/>
          <c:tx>
            <c:strRef>
              <c:f>label 5</c:f>
              <c:strCache>
                <c:ptCount val="1"/>
                <c:pt idx="0">
                  <c:v>хотят обучаться в дистанционном формате</c:v>
                </c:pt>
              </c:strCache>
            </c:strRef>
          </c:tx>
          <c:spPr>
            <a:solidFill>
              <a:srgbClr val="dc853e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5</c:f>
              <c:numCache>
                <c:formatCode>General</c:formatCode>
                <c:ptCount val="1"/>
                <c:pt idx="0">
                  <c:v>0.12</c:v>
                </c:pt>
              </c:numCache>
            </c:numRef>
          </c:val>
        </c:ser>
        <c:ser>
          <c:idx val="6"/>
          <c:order val="6"/>
          <c:tx>
            <c:strRef>
              <c:f>label 6</c:f>
              <c:strCache>
                <c:ptCount val="1"/>
                <c:pt idx="0">
                  <c:v>предпочитают очное обучение</c:v>
                </c:pt>
              </c:strCache>
            </c:strRef>
          </c:tx>
          <c:spPr>
            <a:solidFill>
              <a:srgbClr val="93a9ce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6</c:f>
              <c:numCache>
                <c:formatCode>General</c:formatCode>
                <c:ptCount val="1"/>
                <c:pt idx="0">
                  <c:v>0.88</c:v>
                </c:pt>
              </c:numCache>
            </c:numRef>
          </c:val>
        </c:ser>
        <c:ser>
          <c:idx val="7"/>
          <c:order val="7"/>
          <c:tx>
            <c:strRef>
              <c:f>label 7</c:f>
              <c:strCache>
                <c:ptCount val="1"/>
                <c:pt idx="0">
                  <c:v>дистанционное обучение не влияет на качество обучения</c:v>
                </c:pt>
              </c:strCache>
            </c:strRef>
          </c:tx>
          <c:spPr>
            <a:solidFill>
              <a:srgbClr val="d09493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7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ser>
          <c:idx val="8"/>
          <c:order val="8"/>
          <c:tx>
            <c:strRef>
              <c:f>label 8</c:f>
              <c:strCache>
                <c:ptCount val="1"/>
                <c:pt idx="0">
                  <c:v>дистанционное обучение снижает качество обучения</c:v>
                </c:pt>
              </c:strCache>
            </c:strRef>
          </c:tx>
          <c:spPr>
            <a:solidFill>
              <a:srgbClr val="b8cd97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8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9"/>
          <c:order val="9"/>
          <c:tx>
            <c:strRef>
              <c:f>label 9</c:f>
              <c:strCache>
                <c:ptCount val="1"/>
                <c:pt idx="0">
                  <c:v>качество обучения в дистанционном формате снизилось</c:v>
                </c:pt>
              </c:strCache>
            </c:strRef>
          </c:tx>
          <c:spPr>
            <a:solidFill>
              <a:srgbClr val="a99bbd"/>
            </a:solidFill>
            <a:ln w="0">
              <a:noFill/>
            </a:ln>
          </c:spPr>
          <c:invertIfNegative val="0"/>
          <c:dLbls>
            <c:numFmt formatCode="0%" sourceLinked="0"/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categories</c:f>
              <c:strCache>
                <c:ptCount val="1"/>
                <c:pt idx="0">
                  <c:v>кол-во обуч-ся</c:v>
                </c:pt>
              </c:strCache>
            </c:strRef>
          </c:cat>
          <c:val>
            <c:numRef>
              <c:f>9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gapWidth val="150"/>
        <c:overlap val="0"/>
        <c:axId val="17549280"/>
        <c:axId val="5212310"/>
      </c:barChart>
      <c:catAx>
        <c:axId val="175492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5212310"/>
        <c:crosses val="autoZero"/>
        <c:auto val="1"/>
        <c:lblAlgn val="ctr"/>
        <c:lblOffset val="100"/>
        <c:noMultiLvlLbl val="0"/>
      </c:catAx>
      <c:valAx>
        <c:axId val="5212310"/>
        <c:scaling>
          <c:orientation val="minMax"/>
        </c:scaling>
        <c:delete val="0"/>
        <c:axPos val="l"/>
        <c:majorGridlines>
          <c:spPr>
            <a:ln w="9360">
              <a:solidFill>
                <a:srgbClr val="878787"/>
              </a:solidFill>
              <a:round/>
            </a:ln>
          </c:spPr>
        </c:majorGridlines>
        <c:numFmt formatCode="0%" sourceLinked="0"/>
        <c:majorTickMark val="out"/>
        <c:minorTickMark val="none"/>
        <c:tickLblPos val="nextTo"/>
        <c:spPr>
          <a:ln w="9360">
            <a:solidFill>
              <a:srgbClr val="878787"/>
            </a:solidFill>
            <a:round/>
          </a:ln>
        </c:spPr>
        <c:txPr>
          <a:bodyPr/>
          <a:lstStyle/>
          <a:p>
            <a:pPr>
              <a:defRPr b="0" sz="1000" spc="-1" strike="noStrike">
                <a:solidFill>
                  <a:srgbClr val="000000"/>
                </a:solidFill>
                <a:latin typeface="Calibri"/>
              </a:defRPr>
            </a:pPr>
          </a:p>
        </c:txPr>
        <c:crossAx val="17549280"/>
        <c:crosses val="autoZero"/>
        <c:crossBetween val="between"/>
      </c:valAx>
      <c:spPr>
        <a:solidFill>
          <a:srgbClr val="ffffff"/>
        </a:solidFill>
        <a:ln w="0">
          <a:noFill/>
        </a:ln>
      </c:spPr>
    </c:plotArea>
    <c:legend>
      <c:legendPos val="r"/>
      <c:layout>
        <c:manualLayout>
          <c:xMode val="edge"/>
          <c:yMode val="edge"/>
          <c:x val="0.637125"/>
          <c:y val="0.0228888888888889"/>
          <c:w val="0.343146446652916"/>
          <c:h val="0.959551061229025"/>
        </c:manualLayout>
      </c:layout>
      <c:overlay val="0"/>
      <c:spPr>
        <a:noFill/>
        <a:ln w="0">
          <a:noFill/>
        </a:ln>
      </c:spPr>
      <c:txPr>
        <a:bodyPr/>
        <a:lstStyle/>
        <a:p>
          <a:pPr>
            <a:defRPr b="1" sz="8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gap"/>
  </c:chart>
  <c:spPr>
    <a:solidFill>
      <a:srgbClr val="ffc000">
        <a:alpha val="26000"/>
      </a:srgbClr>
    </a:solidFill>
    <a:ln w="9360">
      <a:solidFill>
        <a:srgbClr val="d9d9d9"/>
      </a:solidFill>
      <a:round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doughnut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удовлетворенность родителей(законных представителей) дистанционным обучением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Lbls>
            <c:numFmt formatCode="0%" sourceLinked="0"/>
            <c:dLbl>
              <c:idx val="0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7"/>
                <c:pt idx="0">
                  <c:v>удовлетворены качеством организации образовательного процесса </c:v>
                </c:pt>
                <c:pt idx="1">
                  <c:v>испытывают трудности в работе с детьми </c:v>
                </c:pt>
                <c:pt idx="2">
                  <c:v>не имеют возможности оказывать помощь в обучении детям</c:v>
                </c:pt>
                <c:pt idx="3">
                  <c:v>удовлетворены качеством информирования и поддержки педагогами</c:v>
                </c:pt>
                <c:pt idx="4">
                  <c:v>нуждаются в дополнительном консультировании</c:v>
                </c:pt>
                <c:pt idx="5">
                  <c:v>не владеют современными технологиями</c:v>
                </c:pt>
                <c:pt idx="6">
                  <c:v>предпочитают очный формат обучения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7"/>
                <c:pt idx="0">
                  <c:v>0.960000000000001</c:v>
                </c:pt>
                <c:pt idx="1">
                  <c:v>0.700000000000001</c:v>
                </c:pt>
                <c:pt idx="2">
                  <c:v>0.42</c:v>
                </c:pt>
                <c:pt idx="3">
                  <c:v>0.960000000000001</c:v>
                </c:pt>
                <c:pt idx="4">
                  <c:v>0.620000000000001</c:v>
                </c:pt>
                <c:pt idx="5">
                  <c:v>0.380000000000001</c:v>
                </c:pt>
                <c:pt idx="6">
                  <c:v>1</c:v>
                </c:pt>
              </c:numCache>
            </c:numRef>
          </c:val>
        </c:ser>
        <c:firstSliceAng val="0"/>
        <c:holeSize val="50"/>
      </c:doughnutChart>
      <c:spPr>
        <a:noFill/>
        <a:ln w="2556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zero"/>
  </c:chart>
  <c:spPr>
    <a:solidFill>
      <a:srgbClr val="00b050">
        <a:alpha val="16000"/>
      </a:srgbClr>
    </a:solidFill>
    <a:ln w="28440">
      <a:solidFill>
        <a:srgbClr val="00b050"/>
      </a:solidFill>
      <a:round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autoTitleDeleted val="1"/>
    <c:plotArea>
      <c:pieChart>
        <c:varyColors val="1"/>
        <c:ser>
          <c:idx val="0"/>
          <c:order val="0"/>
          <c:tx>
            <c:strRef>
              <c:f>label 0</c:f>
              <c:strCache>
                <c:ptCount val="1"/>
                <c:pt idx="0">
                  <c:v>удовлетворенность педагогов дистанционным форматом обучения</c:v>
                </c:pt>
              </c:strCache>
            </c:strRef>
          </c:tx>
          <c:spPr>
            <a:solidFill>
              <a:srgbClr val="4f81bd"/>
            </a:solidFill>
            <a:ln w="0">
              <a:noFill/>
            </a:ln>
          </c:spPr>
          <c:explosion val="25"/>
          <c:dPt>
            <c:idx val="0"/>
            <c:explosion val="25"/>
            <c:spPr>
              <a:solidFill>
                <a:srgbClr val="4672a8"/>
              </a:solidFill>
              <a:ln w="0">
                <a:noFill/>
              </a:ln>
            </c:spPr>
          </c:dPt>
          <c:dPt>
            <c:idx val="1"/>
            <c:explosion val="25"/>
            <c:spPr>
              <a:solidFill>
                <a:srgbClr val="ab4744"/>
              </a:solidFill>
              <a:ln w="0">
                <a:noFill/>
              </a:ln>
            </c:spPr>
          </c:dPt>
          <c:dPt>
            <c:idx val="2"/>
            <c:explosion val="25"/>
            <c:spPr>
              <a:solidFill>
                <a:srgbClr val="8aa64f"/>
              </a:solidFill>
              <a:ln w="0">
                <a:noFill/>
              </a:ln>
            </c:spPr>
          </c:dPt>
          <c:dPt>
            <c:idx val="3"/>
            <c:explosion val="25"/>
            <c:spPr>
              <a:solidFill>
                <a:srgbClr val="725990"/>
              </a:solidFill>
              <a:ln w="0">
                <a:noFill/>
              </a:ln>
            </c:spPr>
          </c:dPt>
          <c:dPt>
            <c:idx val="4"/>
            <c:explosion val="25"/>
            <c:spPr>
              <a:solidFill>
                <a:srgbClr val="4299b0"/>
              </a:solidFill>
              <a:ln w="0">
                <a:noFill/>
              </a:ln>
            </c:spPr>
          </c:dPt>
          <c:dPt>
            <c:idx val="5"/>
            <c:explosion val="25"/>
            <c:spPr>
              <a:solidFill>
                <a:srgbClr val="dc853e"/>
              </a:solidFill>
              <a:ln w="0">
                <a:noFill/>
              </a:ln>
            </c:spPr>
          </c:dPt>
          <c:dPt>
            <c:idx val="6"/>
            <c:explosion val="25"/>
            <c:spPr>
              <a:solidFill>
                <a:srgbClr val="93a9ce"/>
              </a:solidFill>
              <a:ln w="0">
                <a:noFill/>
              </a:ln>
            </c:spPr>
          </c:dPt>
          <c:dPt>
            <c:idx val="7"/>
            <c:explosion val="25"/>
            <c:spPr>
              <a:solidFill>
                <a:srgbClr val="d09493"/>
              </a:solidFill>
              <a:ln w="0">
                <a:noFill/>
              </a:ln>
            </c:spPr>
          </c:dPt>
          <c:dPt>
            <c:idx val="8"/>
            <c:explosion val="25"/>
            <c:spPr>
              <a:solidFill>
                <a:srgbClr val="b8cd97"/>
              </a:solidFill>
              <a:ln w="0">
                <a:noFill/>
              </a:ln>
            </c:spPr>
          </c:dPt>
          <c:dLbls>
            <c:numFmt formatCode="0%" sourceLinked="0"/>
            <c:dLbl>
              <c:idx val="0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1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2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3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4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5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6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7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dLbl>
              <c:idx val="8"/>
              <c:numFmt formatCode="0%" sourceLinked="0"/>
              <c:txPr>
                <a:bodyPr wrap="none"/>
                <a:lstStyle/>
                <a:p>
                  <a:pPr>
                    <a:defRPr b="0" sz="1000" spc="-1" strike="noStrike">
                      <a:solidFill>
                        <a:srgbClr val="000000"/>
                      </a:solidFill>
                      <a:latin typeface="Calibri"/>
                    </a:defRPr>
                  </a:pPr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eparator>; </c:separator>
            </c:dLbl>
            <c:txPr>
              <a:bodyPr wrap="none"/>
              <a:lstStyle/>
              <a:p>
                <a:pPr>
                  <a:defRPr b="0" sz="1000" spc="-1" strike="noStrik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eparator>; </c:separator>
            <c:showLeaderLines val="0"/>
          </c:dLbls>
          <c:cat>
            <c:strRef>
              <c:f>categories</c:f>
              <c:strCache>
                <c:ptCount val="9"/>
                <c:pt idx="0">
                  <c:v>считают наиболее преемлимым очный формат обучения</c:v>
                </c:pt>
                <c:pt idx="1">
                  <c:v>испытывают трудности организации образовательного процесса в дистанционном формате</c:v>
                </c:pt>
                <c:pt idx="2">
                  <c:v>считают недостаточной личную цифровую компетентность </c:v>
                </c:pt>
                <c:pt idx="3">
                  <c:v> используют готовые ресурсы в обучении школьников с ОВЗ</c:v>
                </c:pt>
                <c:pt idx="4">
                  <c:v>умеют самостоятельно разрабатывать образовательные ресурсы на дистанционной платформе</c:v>
                </c:pt>
                <c:pt idx="5">
                  <c:v>владеют технологией разработки электронных КИМ</c:v>
                </c:pt>
                <c:pt idx="6">
                  <c:v>счтитают, что дистанционный формат обучения негативно влияет на качество образования</c:v>
                </c:pt>
                <c:pt idx="7">
                  <c:v>считат необходимым использование ЭОР в образовании школьников с ОВЗ</c:v>
                </c:pt>
                <c:pt idx="8">
                  <c:v>нуждаются в методической поддержке на этапах освоения  компьютерных технологий                  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9"/>
                <c:pt idx="0">
                  <c:v>1</c:v>
                </c:pt>
                <c:pt idx="1">
                  <c:v>0.92</c:v>
                </c:pt>
                <c:pt idx="2">
                  <c:v>0.840000000000001</c:v>
                </c:pt>
                <c:pt idx="3">
                  <c:v>0.18</c:v>
                </c:pt>
                <c:pt idx="4">
                  <c:v>0.12</c:v>
                </c:pt>
                <c:pt idx="5">
                  <c:v>0.36</c:v>
                </c:pt>
                <c:pt idx="6">
                  <c:v>0.640000000000001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firstSliceAng val="0"/>
      </c:pieChart>
      <c:spPr>
        <a:noFill/>
        <a:ln w="25560">
          <a:noFill/>
        </a:ln>
      </c:spPr>
    </c:plotArea>
    <c:legend>
      <c:legendPos val="r"/>
      <c:overlay val="0"/>
      <c:spPr>
        <a:noFill/>
        <a:ln w="0">
          <a:noFill/>
        </a:ln>
      </c:spPr>
      <c:txPr>
        <a:bodyPr/>
        <a:lstStyle/>
        <a:p>
          <a:pPr>
            <a:defRPr b="1" sz="1000" spc="-1" strike="noStrike">
              <a:solidFill>
                <a:srgbClr val="000000"/>
              </a:solidFill>
              <a:latin typeface="Calibri"/>
            </a:defRPr>
          </a:pPr>
        </a:p>
      </c:txPr>
    </c:legend>
    <c:plotVisOnly val="1"/>
    <c:dispBlanksAs val="zero"/>
  </c:chart>
  <c:spPr>
    <a:solidFill>
      <a:srgbClr val="f2dcdb"/>
    </a:solidFill>
    <a:ln w="31680">
      <a:solidFill>
        <a:srgbClr val="953735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LibreOffice/7.0.0.3$MacOSX_X86_64 LibreOffice_project/8061b3e9204bef6b321a21033174034a5e2ea88e</Application>
  <Pages>9</Pages>
  <Words>1580</Words>
  <Characters>11119</Characters>
  <CharactersWithSpaces>12679</CharactersWithSpaces>
  <Paragraphs>86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2021-03-18T12:35:00Z</dcterms:created>
  <dc:creator>HP</dc:creator>
  <dc:description/>
  <dc:language>ru-RU</dc:language>
  <cp:lastModifiedBy>Ирина Георгиевна Кузнецова</cp:lastModifiedBy>
  <cp:lastPrinted>2021-03-17T14:18:00Z</cp:lastPrinted>
  <dcterms:modified xsi:type="dcterms:W3CDTF">2021-03-18T16:16:01Z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